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C6" w:rsidRPr="002945F7" w:rsidRDefault="00705CC6" w:rsidP="002945F7">
      <w:pPr>
        <w:rPr>
          <w:w w:val="105"/>
          <w:lang w:val="en-US"/>
        </w:rPr>
      </w:pPr>
      <w:r w:rsidRPr="002945F7">
        <w:rPr>
          <w:w w:val="105"/>
          <w:lang w:val="en-US"/>
        </w:rPr>
        <w:t>"APPROVED"</w:t>
      </w:r>
    </w:p>
    <w:p w:rsidR="00705CC6" w:rsidRPr="002945F7" w:rsidRDefault="00705CC6" w:rsidP="00705CC6">
      <w:pPr>
        <w:pStyle w:val="a3"/>
        <w:ind w:left="4820"/>
        <w:jc w:val="center"/>
        <w:rPr>
          <w:spacing w:val="-2"/>
          <w:w w:val="105"/>
          <w:sz w:val="21"/>
          <w:szCs w:val="22"/>
          <w:lang w:val="en-US"/>
        </w:rPr>
      </w:pPr>
      <w:r w:rsidRPr="002945F7">
        <w:rPr>
          <w:spacing w:val="-2"/>
          <w:w w:val="105"/>
          <w:sz w:val="21"/>
          <w:szCs w:val="22"/>
          <w:lang w:val="en-US"/>
        </w:rPr>
        <w:t>By the Supervisory Board</w:t>
      </w:r>
    </w:p>
    <w:p w:rsidR="00656D60" w:rsidRPr="002945F7" w:rsidRDefault="00705CC6" w:rsidP="00705CC6">
      <w:pPr>
        <w:pStyle w:val="a3"/>
        <w:ind w:left="4820"/>
        <w:jc w:val="center"/>
        <w:rPr>
          <w:sz w:val="20"/>
          <w:lang w:val="en-US"/>
        </w:rPr>
      </w:pPr>
      <w:r w:rsidRPr="00406DEF">
        <w:rPr>
          <w:spacing w:val="-2"/>
          <w:w w:val="105"/>
          <w:sz w:val="21"/>
          <w:szCs w:val="22"/>
          <w:lang w:val="en-US"/>
        </w:rPr>
        <w:t>JSC "Tashkent Invest Company" dated January 19, 2024</w:t>
      </w: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rPr>
          <w:rFonts w:ascii="Calibri"/>
          <w:sz w:val="20"/>
          <w:lang w:val="en-US"/>
        </w:rPr>
      </w:pPr>
    </w:p>
    <w:p w:rsidR="00656D60" w:rsidRPr="002945F7" w:rsidRDefault="00656D60">
      <w:pPr>
        <w:pStyle w:val="a3"/>
        <w:spacing w:before="222"/>
        <w:rPr>
          <w:sz w:val="20"/>
          <w:lang w:val="en-US"/>
        </w:rPr>
      </w:pPr>
    </w:p>
    <w:p w:rsidR="00656D60" w:rsidRPr="002945F7" w:rsidRDefault="00705CC6">
      <w:pPr>
        <w:spacing w:line="295" w:lineRule="exact"/>
        <w:ind w:left="-1" w:right="31"/>
        <w:jc w:val="center"/>
        <w:rPr>
          <w:sz w:val="27"/>
          <w:lang w:val="en-US"/>
        </w:rPr>
      </w:pPr>
      <w:r w:rsidRPr="002945F7">
        <w:rPr>
          <w:spacing w:val="-2"/>
          <w:sz w:val="27"/>
          <w:lang w:val="en-US"/>
        </w:rPr>
        <w:t>position</w:t>
      </w:r>
    </w:p>
    <w:p w:rsidR="00656D60" w:rsidRPr="002945F7" w:rsidRDefault="00705CC6">
      <w:pPr>
        <w:tabs>
          <w:tab w:val="left" w:pos="3074"/>
        </w:tabs>
        <w:spacing w:line="259" w:lineRule="exact"/>
        <w:ind w:right="37"/>
        <w:jc w:val="center"/>
        <w:rPr>
          <w:sz w:val="28"/>
          <w:lang w:val="en-US"/>
        </w:rPr>
      </w:pPr>
      <w:r w:rsidRPr="002945F7">
        <w:rPr>
          <w:spacing w:val="-4"/>
          <w:sz w:val="28"/>
          <w:lang w:val="en-US"/>
        </w:rPr>
        <w:t>ABOUT THE CORPORATE CONSULTANT</w:t>
      </w:r>
    </w:p>
    <w:p w:rsidR="00656D60" w:rsidRPr="002945F7" w:rsidRDefault="00705CC6">
      <w:pPr>
        <w:pStyle w:val="a4"/>
        <w:rPr>
          <w:rFonts w:ascii="Arial" w:hAnsi="Arial" w:cs="Arial"/>
          <w:lang w:val="en-US"/>
        </w:rPr>
      </w:pPr>
      <w:r w:rsidRPr="002945F7">
        <w:rPr>
          <w:rFonts w:ascii="Arial" w:hAnsi="Arial" w:cs="Arial"/>
          <w:w w:val="90"/>
          <w:lang w:val="en-US"/>
        </w:rPr>
        <w:t>JOINT-STOCK COMPANY</w:t>
      </w:r>
    </w:p>
    <w:p w:rsidR="00656D60" w:rsidRPr="002945F7" w:rsidRDefault="00705CC6">
      <w:pPr>
        <w:spacing w:line="278" w:lineRule="exact"/>
        <w:ind w:left="-1" w:right="21"/>
        <w:jc w:val="center"/>
        <w:rPr>
          <w:sz w:val="25"/>
          <w:lang w:val="en-US"/>
        </w:rPr>
      </w:pPr>
      <w:r w:rsidRPr="002945F7">
        <w:rPr>
          <w:spacing w:val="-8"/>
          <w:sz w:val="25"/>
          <w:lang w:val="en-US"/>
        </w:rPr>
        <w:t>TASHKENT INVEST COMPANY JSC</w:t>
      </w: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rPr>
          <w:rFonts w:ascii="Cambria"/>
          <w:sz w:val="25"/>
          <w:lang w:val="en-US"/>
        </w:rPr>
      </w:pPr>
    </w:p>
    <w:p w:rsidR="00656D60" w:rsidRPr="002945F7" w:rsidRDefault="00656D60">
      <w:pPr>
        <w:pStyle w:val="a3"/>
        <w:spacing w:before="204"/>
        <w:rPr>
          <w:rFonts w:ascii="Cambria"/>
          <w:sz w:val="25"/>
          <w:lang w:val="en-US"/>
        </w:rPr>
      </w:pPr>
    </w:p>
    <w:p w:rsidR="00656D60" w:rsidRPr="002945F7" w:rsidRDefault="00705CC6">
      <w:pPr>
        <w:ind w:left="36"/>
        <w:jc w:val="center"/>
        <w:rPr>
          <w:rFonts w:ascii="Cambria"/>
          <w:lang w:val="en-US"/>
        </w:rPr>
      </w:pPr>
      <w:r w:rsidRPr="002945F7">
        <w:rPr>
          <w:rFonts w:ascii="Cambria"/>
          <w:spacing w:val="-8"/>
          <w:lang w:val="en-US"/>
        </w:rPr>
        <w:t>Tashkent-2024</w:t>
      </w:r>
    </w:p>
    <w:p w:rsidR="00656D60" w:rsidRPr="002945F7" w:rsidRDefault="00656D60">
      <w:pPr>
        <w:jc w:val="center"/>
        <w:rPr>
          <w:rFonts w:ascii="Cambria"/>
          <w:lang w:val="en-US"/>
        </w:rPr>
        <w:sectPr w:rsidR="00656D60" w:rsidRPr="002945F7">
          <w:type w:val="continuous"/>
          <w:pgSz w:w="11900" w:h="16820"/>
          <w:pgMar w:top="1020" w:right="708" w:bottom="280" w:left="1559" w:header="720" w:footer="720" w:gutter="0"/>
          <w:cols w:space="720"/>
        </w:sectPr>
      </w:pPr>
    </w:p>
    <w:p w:rsidR="00656D60" w:rsidRPr="00705CC6" w:rsidRDefault="00406DEF">
      <w:pPr>
        <w:pStyle w:val="a5"/>
        <w:numPr>
          <w:ilvl w:val="0"/>
          <w:numId w:val="1"/>
        </w:numPr>
        <w:tabs>
          <w:tab w:val="left" w:pos="3839"/>
        </w:tabs>
        <w:spacing w:before="66"/>
        <w:ind w:left="3839" w:hanging="271"/>
        <w:jc w:val="left"/>
        <w:rPr>
          <w:b/>
          <w:sz w:val="24"/>
        </w:rPr>
      </w:pPr>
      <w:r w:rsidRPr="00705CC6">
        <w:rPr>
          <w:b/>
          <w:sz w:val="24"/>
        </w:rPr>
        <w:lastRenderedPageBreak/>
        <w:t>MORE GENERAL PROVISIONS</w:t>
      </w:r>
    </w:p>
    <w:p w:rsidR="00656D60" w:rsidRPr="002945F7" w:rsidRDefault="00406DEF">
      <w:pPr>
        <w:pStyle w:val="a5"/>
        <w:numPr>
          <w:ilvl w:val="1"/>
          <w:numId w:val="1"/>
        </w:numPr>
        <w:tabs>
          <w:tab w:val="left" w:pos="1287"/>
        </w:tabs>
        <w:spacing w:before="7"/>
        <w:ind w:right="141" w:firstLine="707"/>
        <w:rPr>
          <w:sz w:val="24"/>
          <w:lang w:val="en-US"/>
        </w:rPr>
      </w:pPr>
      <w:r w:rsidRPr="002945F7">
        <w:rPr>
          <w:sz w:val="24"/>
          <w:lang w:val="en-US"/>
        </w:rPr>
        <w:t>This regulation was developed in accordance with the current legislation of the Republic of Uzbekistan, the charter, Corporate Governance Code and other internal documents of JSC "Company Tashkent Invest" (hereinafter referred to as the company).</w:t>
      </w:r>
    </w:p>
    <w:p w:rsidR="00656D60" w:rsidRPr="002945F7" w:rsidRDefault="00406DEF">
      <w:pPr>
        <w:pStyle w:val="a5"/>
        <w:numPr>
          <w:ilvl w:val="1"/>
          <w:numId w:val="1"/>
        </w:numPr>
        <w:tabs>
          <w:tab w:val="left" w:pos="1286"/>
        </w:tabs>
        <w:spacing w:before="9"/>
        <w:ind w:left="118" w:right="160" w:firstLine="704"/>
        <w:rPr>
          <w:sz w:val="24"/>
          <w:lang w:val="en-US"/>
        </w:rPr>
      </w:pPr>
      <w:r w:rsidRPr="002945F7">
        <w:rPr>
          <w:sz w:val="24"/>
          <w:lang w:val="en-US"/>
        </w:rPr>
        <w:t>This regulation defines the status and regulates the work of the company's corporate consultant, the procedure for appointment, and its rights and obligations.</w:t>
      </w:r>
    </w:p>
    <w:p w:rsidR="00656D60" w:rsidRPr="002945F7" w:rsidRDefault="00406DEF" w:rsidP="00705CC6">
      <w:pPr>
        <w:pStyle w:val="a5"/>
        <w:numPr>
          <w:ilvl w:val="1"/>
          <w:numId w:val="1"/>
        </w:numPr>
        <w:tabs>
          <w:tab w:val="left" w:pos="1288"/>
        </w:tabs>
        <w:spacing w:before="6"/>
        <w:ind w:left="117" w:firstLine="734"/>
        <w:rPr>
          <w:sz w:val="23"/>
          <w:lang w:val="en-US"/>
        </w:rPr>
      </w:pPr>
      <w:r w:rsidRPr="002945F7">
        <w:rPr>
          <w:sz w:val="24"/>
          <w:lang w:val="en-US"/>
        </w:rPr>
        <w:t xml:space="preserve">The corporate consultant is </w:t>
      </w:r>
      <w:proofErr w:type="spellStart"/>
      <w:r w:rsidRPr="002945F7">
        <w:rPr>
          <w:sz w:val="24"/>
          <w:lang w:val="en-US"/>
        </w:rPr>
        <w:t>accountable</w:t>
      </w:r>
      <w:r w:rsidRPr="002945F7">
        <w:rPr>
          <w:spacing w:val="-2"/>
          <w:sz w:val="23"/>
          <w:lang w:val="en-US"/>
        </w:rPr>
        <w:t>to</w:t>
      </w:r>
      <w:proofErr w:type="spellEnd"/>
      <w:r w:rsidRPr="002945F7">
        <w:rPr>
          <w:spacing w:val="-2"/>
          <w:sz w:val="23"/>
          <w:lang w:val="en-US"/>
        </w:rPr>
        <w:t xml:space="preserve"> the Company's Supervisory Board.</w:t>
      </w:r>
    </w:p>
    <w:p w:rsidR="00656D60" w:rsidRPr="002945F7" w:rsidRDefault="00406DEF">
      <w:pPr>
        <w:pStyle w:val="a5"/>
        <w:numPr>
          <w:ilvl w:val="0"/>
          <w:numId w:val="1"/>
        </w:numPr>
        <w:tabs>
          <w:tab w:val="left" w:pos="1203"/>
        </w:tabs>
        <w:spacing w:before="5"/>
        <w:ind w:left="1203" w:hanging="255"/>
        <w:jc w:val="both"/>
        <w:rPr>
          <w:b/>
          <w:sz w:val="24"/>
          <w:lang w:val="en-US"/>
        </w:rPr>
      </w:pPr>
      <w:r w:rsidRPr="002945F7">
        <w:rPr>
          <w:b/>
          <w:sz w:val="24"/>
          <w:lang w:val="en-US"/>
        </w:rPr>
        <w:t>PROCEDURE FOR APPOINTING A CORPORATE CONSULTANT</w:t>
      </w:r>
    </w:p>
    <w:p w:rsidR="00656D60" w:rsidRPr="002945F7" w:rsidRDefault="00406DEF">
      <w:pPr>
        <w:pStyle w:val="a5"/>
        <w:numPr>
          <w:ilvl w:val="1"/>
          <w:numId w:val="1"/>
        </w:numPr>
        <w:tabs>
          <w:tab w:val="left" w:pos="1115"/>
        </w:tabs>
        <w:spacing w:before="21" w:line="230" w:lineRule="auto"/>
        <w:ind w:left="117" w:right="162" w:firstLine="533"/>
        <w:rPr>
          <w:sz w:val="24"/>
          <w:lang w:val="en-US"/>
        </w:rPr>
      </w:pPr>
      <w:r w:rsidRPr="002945F7">
        <w:rPr>
          <w:sz w:val="24"/>
          <w:lang w:val="en-US"/>
        </w:rPr>
        <w:t>The corporate consultant is appointed by the company's Supervisory Board.</w:t>
      </w:r>
    </w:p>
    <w:p w:rsidR="00656D60" w:rsidRPr="002945F7" w:rsidRDefault="00406DEF">
      <w:pPr>
        <w:pStyle w:val="a5"/>
        <w:numPr>
          <w:ilvl w:val="1"/>
          <w:numId w:val="1"/>
        </w:numPr>
        <w:tabs>
          <w:tab w:val="left" w:pos="1115"/>
        </w:tabs>
        <w:spacing w:before="26" w:line="235" w:lineRule="auto"/>
        <w:ind w:left="114" w:right="146" w:firstLine="536"/>
        <w:rPr>
          <w:sz w:val="24"/>
          <w:lang w:val="en-US"/>
        </w:rPr>
      </w:pPr>
      <w:r w:rsidRPr="002945F7">
        <w:rPr>
          <w:sz w:val="24"/>
          <w:lang w:val="en-US"/>
        </w:rPr>
        <w:t>When considering and approving the candidacy of a corporate consultant, the decision is made by the Supervisory Board by a simple majority vote.</w:t>
      </w:r>
    </w:p>
    <w:p w:rsidR="00656D60" w:rsidRPr="002945F7" w:rsidRDefault="00406DEF">
      <w:pPr>
        <w:pStyle w:val="a5"/>
        <w:numPr>
          <w:ilvl w:val="1"/>
          <w:numId w:val="1"/>
        </w:numPr>
        <w:tabs>
          <w:tab w:val="left" w:pos="1115"/>
        </w:tabs>
        <w:spacing w:before="14" w:line="235" w:lineRule="auto"/>
        <w:ind w:left="114" w:right="166" w:firstLine="536"/>
        <w:rPr>
          <w:sz w:val="24"/>
          <w:lang w:val="en-US"/>
        </w:rPr>
      </w:pPr>
      <w:r w:rsidRPr="002945F7">
        <w:rPr>
          <w:sz w:val="24"/>
          <w:lang w:val="en-US"/>
        </w:rPr>
        <w:t>A candidate for the position of corporate consultant must inform the Supervisory Board of the company about the facts of bringing him to criminal, administrative and other liability.</w:t>
      </w:r>
    </w:p>
    <w:p w:rsidR="00656D60" w:rsidRPr="002945F7" w:rsidRDefault="00406DEF">
      <w:pPr>
        <w:pStyle w:val="a5"/>
        <w:numPr>
          <w:ilvl w:val="1"/>
          <w:numId w:val="1"/>
        </w:numPr>
        <w:tabs>
          <w:tab w:val="left" w:pos="1115"/>
        </w:tabs>
        <w:spacing w:before="18" w:line="235" w:lineRule="auto"/>
        <w:ind w:left="109" w:right="154" w:firstLine="541"/>
        <w:rPr>
          <w:sz w:val="24"/>
          <w:lang w:val="en-US"/>
        </w:rPr>
      </w:pPr>
      <w:r w:rsidRPr="002945F7">
        <w:rPr>
          <w:sz w:val="24"/>
          <w:lang w:val="en-US"/>
        </w:rPr>
        <w:t>A candidate for the position of corporate consultant may attend a meeting of the company's Supervisory Board when considering his / her candidacy.</w:t>
      </w:r>
    </w:p>
    <w:p w:rsidR="00656D60" w:rsidRPr="002945F7" w:rsidRDefault="00406DEF">
      <w:pPr>
        <w:pStyle w:val="a5"/>
        <w:numPr>
          <w:ilvl w:val="1"/>
          <w:numId w:val="1"/>
        </w:numPr>
        <w:tabs>
          <w:tab w:val="left" w:pos="1110"/>
        </w:tabs>
        <w:spacing w:before="9"/>
        <w:ind w:left="109" w:right="159" w:firstLine="536"/>
        <w:rPr>
          <w:sz w:val="24"/>
          <w:lang w:val="en-US"/>
        </w:rPr>
      </w:pPr>
      <w:r w:rsidRPr="002945F7">
        <w:rPr>
          <w:sz w:val="24"/>
          <w:lang w:val="en-US"/>
        </w:rPr>
        <w:t>After the supervisory board approves the candidacy of a corporate consultant, a contract (agreement) for the performance of duties is concluded with him / her. The contract (agreement) with a corporate consultant is concluded for a period of one year with an annual decision on the possibility of its extension or termination. The contract is signed on behalf of the company by the Chairman of the Supervisory Board.</w:t>
      </w:r>
    </w:p>
    <w:p w:rsidR="00656D60" w:rsidRPr="002945F7" w:rsidRDefault="00406DEF">
      <w:pPr>
        <w:pStyle w:val="a5"/>
        <w:numPr>
          <w:ilvl w:val="1"/>
          <w:numId w:val="1"/>
        </w:numPr>
        <w:tabs>
          <w:tab w:val="left" w:pos="1110"/>
        </w:tabs>
        <w:spacing w:before="6" w:line="237" w:lineRule="auto"/>
        <w:ind w:left="109" w:right="162" w:firstLine="536"/>
        <w:rPr>
          <w:sz w:val="24"/>
          <w:lang w:val="en-US"/>
        </w:rPr>
      </w:pPr>
      <w:r w:rsidRPr="002945F7">
        <w:rPr>
          <w:sz w:val="24"/>
          <w:lang w:val="en-US"/>
        </w:rPr>
        <w:t>A corporate consultant may be recalled from his / her position for violating the company's charter, as well as the terms of the contract (agreement), with simultaneous termination of the contract (agreement). The decision to recall a corporate consultant and terminate the contract (agreement) with him / her is made by the company's Supervisory Board. The Chairman of the Management Board of the company may also make a reasonable proposal to recall a corporate consultant.</w:t>
      </w:r>
    </w:p>
    <w:p w:rsidR="00656D60" w:rsidRPr="002945F7" w:rsidRDefault="00406DEF">
      <w:pPr>
        <w:pStyle w:val="a5"/>
        <w:numPr>
          <w:ilvl w:val="0"/>
          <w:numId w:val="1"/>
        </w:numPr>
        <w:tabs>
          <w:tab w:val="left" w:pos="656"/>
        </w:tabs>
        <w:spacing w:before="4" w:line="272" w:lineRule="exact"/>
        <w:ind w:left="656" w:hanging="263"/>
        <w:jc w:val="left"/>
        <w:rPr>
          <w:b/>
          <w:sz w:val="24"/>
          <w:lang w:val="en-US"/>
        </w:rPr>
      </w:pPr>
      <w:r w:rsidRPr="002945F7">
        <w:rPr>
          <w:b/>
          <w:sz w:val="24"/>
          <w:lang w:val="en-US"/>
        </w:rPr>
        <w:t>COMPETENCE AND RESPONSIBILITIES OF A CORPORATE CONSULTANT</w:t>
      </w:r>
    </w:p>
    <w:p w:rsidR="00656D60" w:rsidRPr="002945F7" w:rsidRDefault="00406DEF">
      <w:pPr>
        <w:pStyle w:val="a5"/>
        <w:numPr>
          <w:ilvl w:val="1"/>
          <w:numId w:val="1"/>
        </w:numPr>
        <w:tabs>
          <w:tab w:val="left" w:pos="1116"/>
        </w:tabs>
        <w:spacing w:line="242" w:lineRule="auto"/>
        <w:ind w:left="117" w:right="155" w:firstLine="540"/>
        <w:rPr>
          <w:sz w:val="23"/>
          <w:lang w:val="en-US"/>
        </w:rPr>
      </w:pPr>
      <w:r w:rsidRPr="002945F7">
        <w:rPr>
          <w:sz w:val="24"/>
          <w:lang w:val="en-US"/>
        </w:rPr>
        <w:t xml:space="preserve">The corporate consultant acts within the competence defined by these regulations, the terms of the contract (agreement) concluded with him / her, decisions of the general meeting of shareholders, the Supervisory </w:t>
      </w:r>
      <w:proofErr w:type="spellStart"/>
      <w:r w:rsidRPr="002945F7">
        <w:rPr>
          <w:sz w:val="24"/>
          <w:lang w:val="en-US"/>
        </w:rPr>
        <w:t>Board</w:t>
      </w:r>
      <w:r w:rsidRPr="002945F7">
        <w:rPr>
          <w:spacing w:val="-2"/>
          <w:sz w:val="23"/>
          <w:lang w:val="en-US"/>
        </w:rPr>
        <w:t>of</w:t>
      </w:r>
      <w:proofErr w:type="spellEnd"/>
      <w:r w:rsidRPr="002945F7">
        <w:rPr>
          <w:spacing w:val="-2"/>
          <w:sz w:val="23"/>
          <w:lang w:val="en-US"/>
        </w:rPr>
        <w:t xml:space="preserve"> the company.</w:t>
      </w:r>
    </w:p>
    <w:p w:rsidR="00656D60" w:rsidRDefault="00406DEF">
      <w:pPr>
        <w:pStyle w:val="a5"/>
        <w:numPr>
          <w:ilvl w:val="1"/>
          <w:numId w:val="1"/>
        </w:numPr>
        <w:tabs>
          <w:tab w:val="left" w:pos="1118"/>
        </w:tabs>
        <w:spacing w:before="8" w:line="237" w:lineRule="auto"/>
        <w:ind w:left="117" w:right="155" w:firstLine="540"/>
        <w:rPr>
          <w:sz w:val="24"/>
        </w:rPr>
      </w:pPr>
      <w:r w:rsidRPr="002945F7">
        <w:rPr>
          <w:sz w:val="24"/>
          <w:lang w:val="en-US"/>
        </w:rPr>
        <w:t xml:space="preserve">The main function of a corporate consultant is to monitor compliance with corporate legislation in the company. </w:t>
      </w:r>
      <w:proofErr w:type="spellStart"/>
      <w:r>
        <w:rPr>
          <w:sz w:val="24"/>
        </w:rPr>
        <w:t>As</w:t>
      </w:r>
      <w:proofErr w:type="spellEnd"/>
      <w:r>
        <w:rPr>
          <w:sz w:val="24"/>
        </w:rPr>
        <w:t xml:space="preserve"> </w:t>
      </w:r>
      <w:proofErr w:type="spellStart"/>
      <w:r>
        <w:rPr>
          <w:sz w:val="24"/>
        </w:rPr>
        <w:t>part</w:t>
      </w:r>
      <w:proofErr w:type="spellEnd"/>
      <w:r>
        <w:rPr>
          <w:sz w:val="24"/>
        </w:rPr>
        <w:t xml:space="preserve"> </w:t>
      </w:r>
      <w:proofErr w:type="spellStart"/>
      <w:r>
        <w:rPr>
          <w:sz w:val="24"/>
        </w:rPr>
        <w:t>of</w:t>
      </w:r>
      <w:proofErr w:type="spellEnd"/>
      <w:r>
        <w:rPr>
          <w:sz w:val="24"/>
        </w:rPr>
        <w:t xml:space="preserve"> </w:t>
      </w:r>
      <w:proofErr w:type="spellStart"/>
      <w:r>
        <w:rPr>
          <w:sz w:val="24"/>
        </w:rPr>
        <w:t>its</w:t>
      </w:r>
      <w:proofErr w:type="spellEnd"/>
      <w:r>
        <w:rPr>
          <w:sz w:val="24"/>
        </w:rPr>
        <w:t xml:space="preserve"> primary function, a corporate consultant:</w:t>
      </w:r>
    </w:p>
    <w:p w:rsidR="00656D60" w:rsidRPr="002945F7" w:rsidRDefault="00406DEF">
      <w:pPr>
        <w:pStyle w:val="a5"/>
        <w:numPr>
          <w:ilvl w:val="2"/>
          <w:numId w:val="1"/>
        </w:numPr>
        <w:tabs>
          <w:tab w:val="left" w:pos="798"/>
        </w:tabs>
        <w:spacing w:before="10" w:line="232" w:lineRule="auto"/>
        <w:ind w:right="141" w:firstLine="534"/>
        <w:rPr>
          <w:sz w:val="24"/>
          <w:lang w:val="en-US"/>
        </w:rPr>
      </w:pPr>
      <w:r w:rsidRPr="002945F7">
        <w:rPr>
          <w:sz w:val="24"/>
          <w:lang w:val="en-US"/>
        </w:rPr>
        <w:t>studies corporate standards and samples of the company's corporate document flow;</w:t>
      </w:r>
    </w:p>
    <w:p w:rsidR="00656D60" w:rsidRPr="002945F7" w:rsidRDefault="00406DEF">
      <w:pPr>
        <w:pStyle w:val="a5"/>
        <w:numPr>
          <w:ilvl w:val="2"/>
          <w:numId w:val="1"/>
        </w:numPr>
        <w:tabs>
          <w:tab w:val="left" w:pos="794"/>
        </w:tabs>
        <w:spacing w:before="6" w:line="237" w:lineRule="auto"/>
        <w:ind w:left="117" w:right="154" w:firstLine="528"/>
        <w:rPr>
          <w:sz w:val="24"/>
          <w:lang w:val="en-US"/>
        </w:rPr>
      </w:pPr>
      <w:r w:rsidRPr="002945F7">
        <w:rPr>
          <w:sz w:val="24"/>
          <w:lang w:val="en-US"/>
        </w:rPr>
        <w:t>identifies non-compliance of corporate standards and other documents of the company with current legislation, submits proposals to the supervisory board of the company on their elimination;</w:t>
      </w:r>
    </w:p>
    <w:p w:rsidR="00656D60" w:rsidRPr="002945F7" w:rsidRDefault="00705CC6">
      <w:pPr>
        <w:pStyle w:val="a5"/>
        <w:numPr>
          <w:ilvl w:val="2"/>
          <w:numId w:val="1"/>
        </w:numPr>
        <w:tabs>
          <w:tab w:val="left" w:pos="797"/>
        </w:tabs>
        <w:spacing w:line="242" w:lineRule="auto"/>
        <w:ind w:left="114" w:right="146" w:firstLine="531"/>
        <w:rPr>
          <w:position w:val="-2"/>
          <w:sz w:val="24"/>
          <w:lang w:val="en-US"/>
        </w:rPr>
      </w:pPr>
      <w:r w:rsidRPr="002945F7">
        <w:rPr>
          <w:sz w:val="24"/>
          <w:lang w:val="en-US"/>
        </w:rPr>
        <w:t>monitors the activities of corporate governance and control bodies, as well as leading officials of the company for compliance with corporate standards and requirements of performance discipline;</w:t>
      </w:r>
    </w:p>
    <w:p w:rsidR="00656D60" w:rsidRPr="002945F7" w:rsidRDefault="00406DEF">
      <w:pPr>
        <w:pStyle w:val="a5"/>
        <w:numPr>
          <w:ilvl w:val="2"/>
          <w:numId w:val="1"/>
        </w:numPr>
        <w:tabs>
          <w:tab w:val="left" w:pos="813"/>
        </w:tabs>
        <w:spacing w:before="73"/>
        <w:ind w:left="813" w:hanging="149"/>
        <w:rPr>
          <w:sz w:val="24"/>
          <w:lang w:val="en-US"/>
        </w:rPr>
      </w:pPr>
      <w:bookmarkStart w:id="0" w:name="_GoBack"/>
      <w:bookmarkEnd w:id="0"/>
      <w:r w:rsidRPr="002945F7">
        <w:rPr>
          <w:sz w:val="24"/>
          <w:lang w:val="en-US"/>
        </w:rPr>
        <w:t>accepts draft documents for consideration and makes recommendations</w:t>
      </w:r>
    </w:p>
    <w:p w:rsidR="00656D60" w:rsidRDefault="00705CC6">
      <w:pPr>
        <w:spacing w:before="40"/>
        <w:ind w:left="130"/>
        <w:rPr>
          <w:sz w:val="21"/>
        </w:rPr>
      </w:pPr>
      <w:proofErr w:type="spellStart"/>
      <w:r>
        <w:rPr>
          <w:sz w:val="21"/>
        </w:rPr>
        <w:t>for</w:t>
      </w:r>
      <w:proofErr w:type="spellEnd"/>
      <w:r>
        <w:rPr>
          <w:sz w:val="21"/>
        </w:rPr>
        <w:t xml:space="preserve"> </w:t>
      </w:r>
      <w:proofErr w:type="spellStart"/>
      <w:r>
        <w:rPr>
          <w:sz w:val="21"/>
        </w:rPr>
        <w:t>them</w:t>
      </w:r>
      <w:proofErr w:type="spellEnd"/>
      <w:r>
        <w:rPr>
          <w:sz w:val="21"/>
        </w:rPr>
        <w:t>;</w:t>
      </w:r>
    </w:p>
    <w:p w:rsidR="00656D60" w:rsidRPr="002945F7" w:rsidRDefault="00406DEF">
      <w:pPr>
        <w:pStyle w:val="a5"/>
        <w:numPr>
          <w:ilvl w:val="2"/>
          <w:numId w:val="1"/>
        </w:numPr>
        <w:tabs>
          <w:tab w:val="left" w:pos="815"/>
        </w:tabs>
        <w:spacing w:before="3" w:line="275" w:lineRule="exact"/>
        <w:ind w:left="815" w:hanging="151"/>
        <w:rPr>
          <w:sz w:val="24"/>
          <w:lang w:val="en-US"/>
        </w:rPr>
      </w:pPr>
      <w:r w:rsidRPr="002945F7">
        <w:rPr>
          <w:sz w:val="24"/>
          <w:lang w:val="en-US"/>
        </w:rPr>
        <w:t>participates in the development of draft documents;</w:t>
      </w:r>
    </w:p>
    <w:p w:rsidR="00656D60" w:rsidRPr="002945F7" w:rsidRDefault="00406DEF">
      <w:pPr>
        <w:pStyle w:val="a5"/>
        <w:numPr>
          <w:ilvl w:val="2"/>
          <w:numId w:val="1"/>
        </w:numPr>
        <w:tabs>
          <w:tab w:val="left" w:pos="815"/>
        </w:tabs>
        <w:spacing w:line="242" w:lineRule="auto"/>
        <w:ind w:left="134" w:right="122" w:firstLine="529"/>
        <w:rPr>
          <w:sz w:val="24"/>
          <w:lang w:val="en-US"/>
        </w:rPr>
      </w:pPr>
      <w:r w:rsidRPr="002945F7">
        <w:rPr>
          <w:sz w:val="24"/>
          <w:lang w:val="en-US"/>
        </w:rPr>
        <w:t>provides methodological assistance in the organization of corporate document management;</w:t>
      </w:r>
    </w:p>
    <w:p w:rsidR="00656D60" w:rsidRPr="002945F7" w:rsidRDefault="00406DEF">
      <w:pPr>
        <w:pStyle w:val="a5"/>
        <w:numPr>
          <w:ilvl w:val="2"/>
          <w:numId w:val="1"/>
        </w:numPr>
        <w:tabs>
          <w:tab w:val="left" w:pos="817"/>
        </w:tabs>
        <w:spacing w:line="242" w:lineRule="auto"/>
        <w:ind w:left="135" w:right="136" w:firstLine="533"/>
        <w:rPr>
          <w:sz w:val="24"/>
          <w:lang w:val="en-US"/>
        </w:rPr>
      </w:pPr>
      <w:r w:rsidRPr="002945F7">
        <w:rPr>
          <w:sz w:val="24"/>
          <w:lang w:val="en-US"/>
        </w:rPr>
        <w:t>at the request of members of corporate governance and control bodies, as well as shareholders or their representatives, conducts private consultations on corporate legislation and implementation of best corporate governance practices;</w:t>
      </w:r>
    </w:p>
    <w:p w:rsidR="00656D60" w:rsidRPr="002945F7" w:rsidRDefault="00406DEF">
      <w:pPr>
        <w:pStyle w:val="a5"/>
        <w:numPr>
          <w:ilvl w:val="2"/>
          <w:numId w:val="1"/>
        </w:numPr>
        <w:tabs>
          <w:tab w:val="left" w:pos="817"/>
        </w:tabs>
        <w:spacing w:line="242" w:lineRule="auto"/>
        <w:ind w:left="142" w:right="152" w:firstLine="526"/>
        <w:rPr>
          <w:sz w:val="24"/>
          <w:lang w:val="en-US"/>
        </w:rPr>
      </w:pPr>
      <w:r w:rsidRPr="002945F7">
        <w:rPr>
          <w:sz w:val="24"/>
          <w:lang w:val="en-US"/>
        </w:rPr>
        <w:t>prepares and submits proposals for the implementation of corporate governance principles to the company's supervisory board for consideration;</w:t>
      </w:r>
    </w:p>
    <w:p w:rsidR="00656D60" w:rsidRPr="002945F7" w:rsidRDefault="00406DEF">
      <w:pPr>
        <w:pStyle w:val="a5"/>
        <w:numPr>
          <w:ilvl w:val="2"/>
          <w:numId w:val="1"/>
        </w:numPr>
        <w:tabs>
          <w:tab w:val="left" w:pos="826"/>
        </w:tabs>
        <w:spacing w:line="244" w:lineRule="auto"/>
        <w:ind w:left="143" w:right="132" w:firstLine="531"/>
        <w:rPr>
          <w:sz w:val="24"/>
          <w:lang w:val="en-US"/>
        </w:rPr>
      </w:pPr>
      <w:r w:rsidRPr="002945F7">
        <w:rPr>
          <w:sz w:val="24"/>
          <w:lang w:val="en-US"/>
        </w:rPr>
        <w:t>reports to the company's supervisory board on the status of compliance with corporate legislation and submits the opinion of the corporate consultant;</w:t>
      </w:r>
    </w:p>
    <w:p w:rsidR="00656D60" w:rsidRPr="002945F7" w:rsidRDefault="00406DEF">
      <w:pPr>
        <w:pStyle w:val="a5"/>
        <w:numPr>
          <w:ilvl w:val="2"/>
          <w:numId w:val="1"/>
        </w:numPr>
        <w:tabs>
          <w:tab w:val="left" w:pos="827"/>
        </w:tabs>
        <w:spacing w:line="242" w:lineRule="auto"/>
        <w:ind w:left="142" w:right="137" w:firstLine="536"/>
        <w:rPr>
          <w:sz w:val="24"/>
          <w:lang w:val="en-US"/>
        </w:rPr>
      </w:pPr>
      <w:r w:rsidRPr="002945F7">
        <w:rPr>
          <w:sz w:val="24"/>
          <w:lang w:val="en-US"/>
        </w:rPr>
        <w:t xml:space="preserve">prepares and submits for consideration by the supervisory board of the company </w:t>
      </w:r>
      <w:r w:rsidRPr="002945F7">
        <w:rPr>
          <w:sz w:val="24"/>
          <w:lang w:val="en-US"/>
        </w:rPr>
        <w:lastRenderedPageBreak/>
        <w:t>changes, additions or new versions of existing, as well as drafts of new internal documents of the company regulating corporate governance;</w:t>
      </w:r>
    </w:p>
    <w:p w:rsidR="00656D60" w:rsidRPr="002945F7" w:rsidRDefault="00406DEF">
      <w:pPr>
        <w:pStyle w:val="a5"/>
        <w:numPr>
          <w:ilvl w:val="2"/>
          <w:numId w:val="1"/>
        </w:numPr>
        <w:tabs>
          <w:tab w:val="left" w:pos="822"/>
        </w:tabs>
        <w:spacing w:line="242" w:lineRule="auto"/>
        <w:ind w:left="142" w:right="160" w:firstLine="531"/>
        <w:rPr>
          <w:sz w:val="24"/>
          <w:lang w:val="en-US"/>
        </w:rPr>
      </w:pPr>
      <w:r w:rsidRPr="002945F7">
        <w:rPr>
          <w:sz w:val="24"/>
          <w:lang w:val="en-US"/>
        </w:rPr>
        <w:t>performs consulting work on separate orders of the company's supervisory board;</w:t>
      </w:r>
    </w:p>
    <w:p w:rsidR="00656D60" w:rsidRPr="002945F7" w:rsidRDefault="00406DEF">
      <w:pPr>
        <w:pStyle w:val="a5"/>
        <w:numPr>
          <w:ilvl w:val="2"/>
          <w:numId w:val="1"/>
        </w:numPr>
        <w:tabs>
          <w:tab w:val="left" w:pos="825"/>
        </w:tabs>
        <w:ind w:left="142" w:right="129" w:firstLine="531"/>
        <w:rPr>
          <w:sz w:val="24"/>
          <w:lang w:val="en-US"/>
        </w:rPr>
      </w:pPr>
      <w:r w:rsidRPr="002945F7">
        <w:rPr>
          <w:sz w:val="24"/>
          <w:lang w:val="en-US"/>
        </w:rPr>
        <w:t>provides methodological assistance in organizing meetings of the Supervisory Board and general meetings of shareholders of the company, as well as in drawing up minutes.</w:t>
      </w:r>
    </w:p>
    <w:p w:rsidR="00656D60" w:rsidRDefault="00406DEF">
      <w:pPr>
        <w:pStyle w:val="a5"/>
        <w:numPr>
          <w:ilvl w:val="1"/>
          <w:numId w:val="1"/>
        </w:numPr>
        <w:tabs>
          <w:tab w:val="left" w:pos="1142"/>
        </w:tabs>
        <w:ind w:left="143" w:right="133" w:firstLine="538"/>
        <w:rPr>
          <w:sz w:val="24"/>
        </w:rPr>
      </w:pPr>
      <w:r w:rsidRPr="002945F7">
        <w:rPr>
          <w:sz w:val="24"/>
          <w:lang w:val="en-US"/>
        </w:rPr>
        <w:t xml:space="preserve">The company's corporate governance and control bodies must provide the corporate consultant with copies of all documents related to the company's corporate events. </w:t>
      </w:r>
      <w:proofErr w:type="spellStart"/>
      <w:r>
        <w:rPr>
          <w:sz w:val="24"/>
        </w:rPr>
        <w:t>These</w:t>
      </w:r>
      <w:proofErr w:type="spellEnd"/>
      <w:r>
        <w:rPr>
          <w:sz w:val="24"/>
        </w:rPr>
        <w:t xml:space="preserve"> </w:t>
      </w:r>
      <w:proofErr w:type="spellStart"/>
      <w:r>
        <w:rPr>
          <w:sz w:val="24"/>
        </w:rPr>
        <w:t>documents</w:t>
      </w:r>
      <w:proofErr w:type="spellEnd"/>
      <w:r>
        <w:rPr>
          <w:sz w:val="24"/>
        </w:rPr>
        <w:t xml:space="preserve"> </w:t>
      </w:r>
      <w:proofErr w:type="spellStart"/>
      <w:r>
        <w:rPr>
          <w:sz w:val="24"/>
        </w:rPr>
        <w:t>include</w:t>
      </w:r>
      <w:proofErr w:type="spellEnd"/>
      <w:r>
        <w:rPr>
          <w:sz w:val="24"/>
        </w:rPr>
        <w:t>:</w:t>
      </w:r>
    </w:p>
    <w:p w:rsidR="00656D60" w:rsidRPr="002945F7" w:rsidRDefault="00406DEF">
      <w:pPr>
        <w:pStyle w:val="a5"/>
        <w:numPr>
          <w:ilvl w:val="2"/>
          <w:numId w:val="1"/>
        </w:numPr>
        <w:tabs>
          <w:tab w:val="left" w:pos="829"/>
        </w:tabs>
        <w:spacing w:line="237" w:lineRule="auto"/>
        <w:ind w:left="142" w:right="137" w:firstLine="536"/>
        <w:rPr>
          <w:sz w:val="24"/>
          <w:lang w:val="en-US"/>
        </w:rPr>
      </w:pPr>
      <w:r w:rsidRPr="002945F7">
        <w:rPr>
          <w:sz w:val="24"/>
          <w:lang w:val="en-US"/>
        </w:rPr>
        <w:t>the charter and internal regulations of the company, job descriptions of the company's senior management, decisions on the Issue of securities (securities issue prospectuses) of the company;</w:t>
      </w:r>
    </w:p>
    <w:p w:rsidR="00656D60" w:rsidRPr="002945F7" w:rsidRDefault="00406DEF">
      <w:pPr>
        <w:pStyle w:val="a5"/>
        <w:numPr>
          <w:ilvl w:val="2"/>
          <w:numId w:val="1"/>
        </w:numPr>
        <w:tabs>
          <w:tab w:val="left" w:pos="832"/>
        </w:tabs>
        <w:spacing w:line="232" w:lineRule="auto"/>
        <w:ind w:left="149" w:right="116" w:firstLine="534"/>
        <w:rPr>
          <w:sz w:val="24"/>
          <w:lang w:val="en-US"/>
        </w:rPr>
      </w:pPr>
      <w:r w:rsidRPr="002945F7">
        <w:rPr>
          <w:sz w:val="24"/>
          <w:lang w:val="en-US"/>
        </w:rPr>
        <w:t>minutes of general meetings of shareholders, meetings of the supervisory board, and the internal audit service;</w:t>
      </w:r>
    </w:p>
    <w:p w:rsidR="00656D60" w:rsidRPr="002945F7" w:rsidRDefault="00406DEF">
      <w:pPr>
        <w:pStyle w:val="a5"/>
        <w:numPr>
          <w:ilvl w:val="2"/>
          <w:numId w:val="1"/>
        </w:numPr>
        <w:tabs>
          <w:tab w:val="left" w:pos="832"/>
        </w:tabs>
        <w:spacing w:line="237" w:lineRule="auto"/>
        <w:ind w:left="150" w:right="112" w:firstLine="533"/>
        <w:rPr>
          <w:sz w:val="24"/>
          <w:lang w:val="en-US"/>
        </w:rPr>
      </w:pPr>
      <w:r w:rsidRPr="002945F7">
        <w:rPr>
          <w:sz w:val="24"/>
          <w:lang w:val="en-US"/>
        </w:rPr>
        <w:t>work plans and reports on their implementation by the company's corporate governance and control bodies;</w:t>
      </w:r>
    </w:p>
    <w:p w:rsidR="00656D60" w:rsidRDefault="00406DEF">
      <w:pPr>
        <w:pStyle w:val="a5"/>
        <w:numPr>
          <w:ilvl w:val="2"/>
          <w:numId w:val="1"/>
        </w:numPr>
        <w:tabs>
          <w:tab w:val="left" w:pos="828"/>
        </w:tabs>
        <w:spacing w:line="273" w:lineRule="exact"/>
        <w:ind w:left="828" w:hanging="140"/>
        <w:rPr>
          <w:sz w:val="24"/>
        </w:rPr>
      </w:pPr>
      <w:proofErr w:type="spellStart"/>
      <w:r>
        <w:rPr>
          <w:sz w:val="24"/>
        </w:rPr>
        <w:t>the</w:t>
      </w:r>
      <w:proofErr w:type="spellEnd"/>
      <w:r>
        <w:rPr>
          <w:sz w:val="24"/>
        </w:rPr>
        <w:t xml:space="preserve"> </w:t>
      </w:r>
      <w:proofErr w:type="spellStart"/>
      <w:r>
        <w:rPr>
          <w:sz w:val="24"/>
        </w:rPr>
        <w:t>company's</w:t>
      </w:r>
      <w:proofErr w:type="spellEnd"/>
      <w:r>
        <w:rPr>
          <w:sz w:val="24"/>
        </w:rPr>
        <w:t xml:space="preserve"> </w:t>
      </w:r>
      <w:proofErr w:type="spellStart"/>
      <w:r>
        <w:rPr>
          <w:sz w:val="24"/>
        </w:rPr>
        <w:t>business</w:t>
      </w:r>
      <w:proofErr w:type="spellEnd"/>
      <w:r>
        <w:rPr>
          <w:sz w:val="24"/>
        </w:rPr>
        <w:t xml:space="preserve"> </w:t>
      </w:r>
      <w:proofErr w:type="spellStart"/>
      <w:r>
        <w:rPr>
          <w:sz w:val="24"/>
        </w:rPr>
        <w:t>plan</w:t>
      </w:r>
      <w:proofErr w:type="spellEnd"/>
      <w:r>
        <w:rPr>
          <w:sz w:val="24"/>
        </w:rPr>
        <w:t>;</w:t>
      </w:r>
    </w:p>
    <w:p w:rsidR="00656D60" w:rsidRPr="002945F7" w:rsidRDefault="00406DEF">
      <w:pPr>
        <w:pStyle w:val="a5"/>
        <w:numPr>
          <w:ilvl w:val="2"/>
          <w:numId w:val="1"/>
        </w:numPr>
        <w:tabs>
          <w:tab w:val="left" w:pos="837"/>
        </w:tabs>
        <w:spacing w:line="247" w:lineRule="auto"/>
        <w:ind w:left="155" w:right="131" w:firstLine="528"/>
        <w:rPr>
          <w:sz w:val="24"/>
          <w:lang w:val="en-US"/>
        </w:rPr>
      </w:pPr>
      <w:r w:rsidRPr="002945F7">
        <w:rPr>
          <w:sz w:val="24"/>
          <w:lang w:val="en-US"/>
        </w:rPr>
        <w:t>conclusions of the internal audit service and the company's audit organization;</w:t>
      </w:r>
    </w:p>
    <w:p w:rsidR="00656D60" w:rsidRPr="002945F7" w:rsidRDefault="00406DEF">
      <w:pPr>
        <w:pStyle w:val="a5"/>
        <w:numPr>
          <w:ilvl w:val="2"/>
          <w:numId w:val="1"/>
        </w:numPr>
        <w:tabs>
          <w:tab w:val="left" w:pos="833"/>
        </w:tabs>
        <w:spacing w:line="237" w:lineRule="auto"/>
        <w:ind w:left="154" w:right="110" w:firstLine="534"/>
        <w:rPr>
          <w:sz w:val="24"/>
          <w:lang w:val="en-US"/>
        </w:rPr>
      </w:pPr>
      <w:r w:rsidRPr="002945F7">
        <w:rPr>
          <w:sz w:val="24"/>
          <w:lang w:val="en-US"/>
        </w:rPr>
        <w:t>information on affiliated persons, major transactions and transactions with affiliated persons recognized as such in accordance with the current legislation of the Republic of Uzbekistan;</w:t>
      </w:r>
    </w:p>
    <w:p w:rsidR="00656D60" w:rsidRPr="002945F7" w:rsidRDefault="00406DEF">
      <w:pPr>
        <w:pStyle w:val="a5"/>
        <w:numPr>
          <w:ilvl w:val="2"/>
          <w:numId w:val="1"/>
        </w:numPr>
        <w:tabs>
          <w:tab w:val="left" w:pos="837"/>
        </w:tabs>
        <w:spacing w:line="244" w:lineRule="auto"/>
        <w:ind w:left="157" w:right="123" w:firstLine="535"/>
        <w:rPr>
          <w:sz w:val="24"/>
          <w:lang w:val="en-US"/>
        </w:rPr>
      </w:pPr>
      <w:r w:rsidRPr="002945F7">
        <w:rPr>
          <w:sz w:val="24"/>
          <w:lang w:val="en-US"/>
        </w:rPr>
        <w:t>other documents that are carriers of decisions of corporate governance and control bodies, as well as documents that are objects of these decisions.</w:t>
      </w:r>
    </w:p>
    <w:p w:rsidR="00656D60" w:rsidRPr="002945F7" w:rsidRDefault="00406DEF">
      <w:pPr>
        <w:pStyle w:val="a3"/>
        <w:ind w:left="157" w:right="136" w:firstLine="534"/>
        <w:jc w:val="both"/>
        <w:rPr>
          <w:lang w:val="en-US"/>
        </w:rPr>
      </w:pPr>
      <w:r w:rsidRPr="002945F7">
        <w:rPr>
          <w:lang w:val="en-US"/>
        </w:rPr>
        <w:t>The corporate duty consultant has, in agreement with the company's management, access to any other documentation of the company regarding corporate events and relationships, in particular, written requests from shareholders and other interested parties of the company, internal and external correspondence of the company.</w:t>
      </w:r>
    </w:p>
    <w:p w:rsidR="00656D60" w:rsidRPr="002945F7" w:rsidRDefault="00406DEF">
      <w:pPr>
        <w:pStyle w:val="a5"/>
        <w:numPr>
          <w:ilvl w:val="1"/>
          <w:numId w:val="1"/>
        </w:numPr>
        <w:tabs>
          <w:tab w:val="left" w:pos="1158"/>
        </w:tabs>
        <w:ind w:left="157" w:right="137" w:firstLine="538"/>
        <w:rPr>
          <w:sz w:val="24"/>
          <w:lang w:val="en-US"/>
        </w:rPr>
      </w:pPr>
      <w:r w:rsidRPr="002945F7">
        <w:rPr>
          <w:sz w:val="24"/>
          <w:lang w:val="en-US"/>
        </w:rPr>
        <w:t>The corporate consultant is responsible for the security of the received copies of documents. Upon termination of the contract (agreement) with the corporate consultant, he is obliged to transfer the entrusted inventory documentation.</w:t>
      </w:r>
    </w:p>
    <w:p w:rsidR="00656D60" w:rsidRPr="002945F7" w:rsidRDefault="00406DEF" w:rsidP="001C6119">
      <w:pPr>
        <w:pStyle w:val="a5"/>
        <w:numPr>
          <w:ilvl w:val="1"/>
          <w:numId w:val="1"/>
        </w:numPr>
        <w:tabs>
          <w:tab w:val="left" w:pos="1167"/>
        </w:tabs>
        <w:spacing w:before="64" w:line="247" w:lineRule="auto"/>
        <w:ind w:left="153" w:right="129" w:firstLine="556"/>
        <w:rPr>
          <w:lang w:val="en-US"/>
        </w:rPr>
      </w:pPr>
      <w:proofErr w:type="spellStart"/>
      <w:r w:rsidRPr="001C6119">
        <w:rPr>
          <w:sz w:val="24"/>
        </w:rPr>
        <w:t>Услов</w:t>
      </w:r>
      <w:proofErr w:type="spellEnd"/>
      <w:r w:rsidRPr="002945F7">
        <w:rPr>
          <w:sz w:val="24"/>
          <w:lang w:val="en-US"/>
        </w:rPr>
        <w:t xml:space="preserve">The terms of employment and payment (financial incentives) of a corporate consultant are stipulated and implemented in accordance </w:t>
      </w:r>
      <w:proofErr w:type="spellStart"/>
      <w:r w:rsidRPr="002945F7">
        <w:rPr>
          <w:sz w:val="24"/>
          <w:lang w:val="en-US"/>
        </w:rPr>
        <w:t>with</w:t>
      </w:r>
      <w:r w:rsidRPr="002945F7">
        <w:rPr>
          <w:lang w:val="en-US"/>
        </w:rPr>
        <w:t>the</w:t>
      </w:r>
      <w:proofErr w:type="spellEnd"/>
      <w:r w:rsidRPr="002945F7">
        <w:rPr>
          <w:lang w:val="en-US"/>
        </w:rPr>
        <w:t xml:space="preserve"> contract (agreement). At the same time, payment costs (material incentives) are included in the estimated expenditure part of the company's annual business plan.</w:t>
      </w:r>
    </w:p>
    <w:p w:rsidR="00656D60" w:rsidRPr="00406DEF" w:rsidRDefault="00406DEF">
      <w:pPr>
        <w:pStyle w:val="a5"/>
        <w:numPr>
          <w:ilvl w:val="0"/>
          <w:numId w:val="1"/>
        </w:numPr>
        <w:tabs>
          <w:tab w:val="left" w:pos="1558"/>
        </w:tabs>
        <w:spacing w:line="263" w:lineRule="exact"/>
        <w:ind w:left="1558" w:hanging="265"/>
        <w:jc w:val="left"/>
        <w:rPr>
          <w:b/>
          <w:sz w:val="24"/>
        </w:rPr>
      </w:pPr>
      <w:r w:rsidRPr="00406DEF">
        <w:rPr>
          <w:b/>
          <w:sz w:val="24"/>
        </w:rPr>
        <w:t>HOW A CORPORATE CONSULTANT WORKS</w:t>
      </w:r>
    </w:p>
    <w:p w:rsidR="00656D60" w:rsidRPr="002945F7" w:rsidRDefault="00406DEF">
      <w:pPr>
        <w:pStyle w:val="a5"/>
        <w:numPr>
          <w:ilvl w:val="1"/>
          <w:numId w:val="1"/>
        </w:numPr>
        <w:tabs>
          <w:tab w:val="left" w:pos="1157"/>
        </w:tabs>
        <w:spacing w:before="2" w:line="244" w:lineRule="auto"/>
        <w:ind w:left="157" w:right="118" w:firstLine="535"/>
        <w:rPr>
          <w:sz w:val="24"/>
          <w:lang w:val="en-US"/>
        </w:rPr>
      </w:pPr>
      <w:r w:rsidRPr="002945F7">
        <w:rPr>
          <w:sz w:val="24"/>
          <w:lang w:val="en-US"/>
        </w:rPr>
        <w:t>The Supervisory Board of the company may issue instructions to the corporate consultant on work that is not reflected in its work plan. The type of such instructions must be specified in the contract (agreement) with the corporate consultant.</w:t>
      </w:r>
    </w:p>
    <w:p w:rsidR="00656D60" w:rsidRPr="002945F7" w:rsidRDefault="00406DEF">
      <w:pPr>
        <w:pStyle w:val="a5"/>
        <w:numPr>
          <w:ilvl w:val="1"/>
          <w:numId w:val="1"/>
        </w:numPr>
        <w:tabs>
          <w:tab w:val="left" w:pos="1158"/>
        </w:tabs>
        <w:ind w:left="162" w:right="98" w:firstLine="535"/>
        <w:rPr>
          <w:sz w:val="24"/>
          <w:lang w:val="en-US"/>
        </w:rPr>
      </w:pPr>
      <w:r w:rsidRPr="002945F7">
        <w:rPr>
          <w:sz w:val="24"/>
          <w:lang w:val="en-US"/>
        </w:rPr>
        <w:t>The corporate consultant is notified of all planned meetings of the corporate governance and control bodies. The corporate consultant has the right to participate in all meetings of the corporate governance and control bodies.</w:t>
      </w:r>
    </w:p>
    <w:p w:rsidR="00656D60" w:rsidRDefault="00406DEF">
      <w:pPr>
        <w:pStyle w:val="1"/>
        <w:numPr>
          <w:ilvl w:val="0"/>
          <w:numId w:val="1"/>
        </w:numPr>
        <w:tabs>
          <w:tab w:val="left" w:pos="1490"/>
        </w:tabs>
        <w:spacing w:line="275" w:lineRule="exact"/>
        <w:ind w:left="1490" w:hanging="267"/>
        <w:jc w:val="left"/>
      </w:pPr>
      <w:r>
        <w:t>CORPORATE CONSULTANT'S RESPONSIBILITY</w:t>
      </w:r>
    </w:p>
    <w:p w:rsidR="00656D60" w:rsidRPr="002945F7" w:rsidRDefault="00406DEF">
      <w:pPr>
        <w:pStyle w:val="a5"/>
        <w:numPr>
          <w:ilvl w:val="1"/>
          <w:numId w:val="1"/>
        </w:numPr>
        <w:tabs>
          <w:tab w:val="left" w:pos="1162"/>
        </w:tabs>
        <w:spacing w:before="3"/>
        <w:ind w:left="166" w:right="101" w:firstLine="533"/>
        <w:rPr>
          <w:sz w:val="24"/>
          <w:lang w:val="en-US"/>
        </w:rPr>
      </w:pPr>
      <w:r w:rsidRPr="002945F7">
        <w:rPr>
          <w:sz w:val="24"/>
          <w:lang w:val="en-US"/>
        </w:rPr>
        <w:t>A corporate consultant should not use the rights granted by his official position for the purposes and interests of legal entities and individuals with whom he is in an employment relationship.</w:t>
      </w:r>
    </w:p>
    <w:p w:rsidR="00656D60" w:rsidRPr="002945F7" w:rsidRDefault="00406DEF">
      <w:pPr>
        <w:pStyle w:val="a5"/>
        <w:numPr>
          <w:ilvl w:val="1"/>
          <w:numId w:val="1"/>
        </w:numPr>
        <w:tabs>
          <w:tab w:val="left" w:pos="1162"/>
        </w:tabs>
        <w:spacing w:before="2" w:line="242" w:lineRule="auto"/>
        <w:ind w:left="166" w:right="96" w:firstLine="533"/>
        <w:rPr>
          <w:sz w:val="24"/>
          <w:lang w:val="en-US"/>
        </w:rPr>
      </w:pPr>
      <w:r w:rsidRPr="002945F7">
        <w:rPr>
          <w:sz w:val="24"/>
          <w:lang w:val="en-US"/>
        </w:rPr>
        <w:t>A corporate consultant should not allow actions aimed at extracting personal benefits from the disposal of the company's property.</w:t>
      </w:r>
    </w:p>
    <w:p w:rsidR="00656D60" w:rsidRPr="002945F7" w:rsidRDefault="00406DEF">
      <w:pPr>
        <w:pStyle w:val="a5"/>
        <w:numPr>
          <w:ilvl w:val="1"/>
          <w:numId w:val="1"/>
        </w:numPr>
        <w:tabs>
          <w:tab w:val="left" w:pos="1167"/>
        </w:tabs>
        <w:ind w:left="166" w:right="100" w:firstLine="538"/>
        <w:rPr>
          <w:sz w:val="24"/>
          <w:lang w:val="en-US"/>
        </w:rPr>
      </w:pPr>
      <w:r w:rsidRPr="002945F7">
        <w:rPr>
          <w:sz w:val="24"/>
          <w:lang w:val="en-US"/>
        </w:rPr>
        <w:t>The Company's corporate consultant is liable to the company for damage caused as a result of non-performance or improper performance of its functions, in full for compensation of damage caused to the company, in accordance with the current legislation of the Republic of Uzbekistan and the company's charter.</w:t>
      </w:r>
    </w:p>
    <w:p w:rsidR="00656D60" w:rsidRDefault="00406DEF">
      <w:pPr>
        <w:pStyle w:val="1"/>
        <w:numPr>
          <w:ilvl w:val="0"/>
          <w:numId w:val="1"/>
        </w:numPr>
        <w:tabs>
          <w:tab w:val="left" w:pos="2930"/>
        </w:tabs>
        <w:spacing w:before="1"/>
        <w:ind w:left="2930" w:hanging="272"/>
        <w:jc w:val="left"/>
      </w:pPr>
      <w:r>
        <w:rPr>
          <w:spacing w:val="-2"/>
        </w:rPr>
        <w:t>FINAL PROVISIONS</w:t>
      </w:r>
    </w:p>
    <w:p w:rsidR="00656D60" w:rsidRPr="002945F7" w:rsidRDefault="00406DEF">
      <w:pPr>
        <w:pStyle w:val="a5"/>
        <w:numPr>
          <w:ilvl w:val="1"/>
          <w:numId w:val="1"/>
        </w:numPr>
        <w:tabs>
          <w:tab w:val="left" w:pos="1196"/>
        </w:tabs>
        <w:spacing w:line="242" w:lineRule="auto"/>
        <w:ind w:left="171" w:right="124" w:firstLine="558"/>
        <w:rPr>
          <w:sz w:val="24"/>
          <w:lang w:val="en-US"/>
        </w:rPr>
      </w:pPr>
      <w:r w:rsidRPr="002945F7">
        <w:rPr>
          <w:sz w:val="24"/>
          <w:lang w:val="en-US"/>
        </w:rPr>
        <w:t>These regulations come into force from the date of its approval by the Supervisory Board of the company.</w:t>
      </w:r>
    </w:p>
    <w:p w:rsidR="00656D60" w:rsidRPr="002945F7" w:rsidRDefault="00406DEF">
      <w:pPr>
        <w:pStyle w:val="a5"/>
        <w:numPr>
          <w:ilvl w:val="1"/>
          <w:numId w:val="1"/>
        </w:numPr>
        <w:tabs>
          <w:tab w:val="left" w:pos="1198"/>
        </w:tabs>
        <w:ind w:left="171" w:right="101" w:firstLine="558"/>
        <w:rPr>
          <w:sz w:val="24"/>
          <w:lang w:val="en-US"/>
        </w:rPr>
      </w:pPr>
      <w:r w:rsidRPr="002945F7">
        <w:rPr>
          <w:sz w:val="24"/>
          <w:lang w:val="en-US"/>
        </w:rPr>
        <w:t xml:space="preserve">In the event of amendments to the legislation of the Republic of Uzbekistan, as a result of which some provisions of this regulation come into conflict with the legislation, </w:t>
      </w:r>
      <w:r w:rsidRPr="002945F7">
        <w:rPr>
          <w:sz w:val="24"/>
          <w:lang w:val="en-US"/>
        </w:rPr>
        <w:lastRenderedPageBreak/>
        <w:t>this regulation continues to apply in the part that does not contradict the legislation. The provisions of this regulation that come into conflict with the legislation of the Republic of Uzbekistan are no longer valid, and the activities of the company's corporate consultant in this part are regulated by the relevant provisions of the legislation of the Republic of Uzbekistan.</w:t>
      </w:r>
    </w:p>
    <w:sectPr w:rsidR="00656D60" w:rsidRPr="002945F7">
      <w:pgSz w:w="11900" w:h="16820"/>
      <w:pgMar w:top="102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0D5"/>
    <w:multiLevelType w:val="multilevel"/>
    <w:tmpl w:val="7A62616A"/>
    <w:lvl w:ilvl="0">
      <w:start w:val="1"/>
      <w:numFmt w:val="decimal"/>
      <w:lvlText w:val="%1."/>
      <w:lvlJc w:val="left"/>
      <w:pPr>
        <w:ind w:left="3842" w:hanging="274"/>
        <w:jc w:val="right"/>
      </w:pPr>
      <w:rPr>
        <w:rFonts w:hint="default"/>
        <w:spacing w:val="-1"/>
        <w:w w:val="104"/>
        <w:lang w:val="ru-RU" w:eastAsia="en-US" w:bidi="ar-SA"/>
      </w:rPr>
    </w:lvl>
    <w:lvl w:ilvl="1">
      <w:start w:val="1"/>
      <w:numFmt w:val="decimal"/>
      <w:lvlText w:val="%1.%2."/>
      <w:lvlJc w:val="left"/>
      <w:pPr>
        <w:ind w:left="111" w:hanging="472"/>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15" w:hanging="150"/>
      </w:pPr>
      <w:rPr>
        <w:rFonts w:ascii="Arial" w:eastAsia="Arial" w:hAnsi="Arial" w:cs="Arial" w:hint="default"/>
        <w:b w:val="0"/>
        <w:bCs w:val="0"/>
        <w:i w:val="0"/>
        <w:iCs w:val="0"/>
        <w:spacing w:val="0"/>
        <w:w w:val="94"/>
        <w:sz w:val="24"/>
        <w:szCs w:val="24"/>
        <w:lang w:val="ru-RU" w:eastAsia="en-US" w:bidi="ar-SA"/>
      </w:rPr>
    </w:lvl>
    <w:lvl w:ilvl="3">
      <w:numFmt w:val="bullet"/>
      <w:lvlText w:val="•"/>
      <w:lvlJc w:val="left"/>
      <w:pPr>
        <w:ind w:left="180" w:hanging="150"/>
      </w:pPr>
      <w:rPr>
        <w:rFonts w:hint="default"/>
        <w:lang w:val="ru-RU" w:eastAsia="en-US" w:bidi="ar-SA"/>
      </w:rPr>
    </w:lvl>
    <w:lvl w:ilvl="4">
      <w:numFmt w:val="bullet"/>
      <w:lvlText w:val="•"/>
      <w:lvlJc w:val="left"/>
      <w:pPr>
        <w:ind w:left="3840" w:hanging="150"/>
      </w:pPr>
      <w:rPr>
        <w:rFonts w:hint="default"/>
        <w:lang w:val="ru-RU" w:eastAsia="en-US" w:bidi="ar-SA"/>
      </w:rPr>
    </w:lvl>
    <w:lvl w:ilvl="5">
      <w:numFmt w:val="bullet"/>
      <w:lvlText w:val="•"/>
      <w:lvlJc w:val="left"/>
      <w:pPr>
        <w:ind w:left="4805" w:hanging="150"/>
      </w:pPr>
      <w:rPr>
        <w:rFonts w:hint="default"/>
        <w:lang w:val="ru-RU" w:eastAsia="en-US" w:bidi="ar-SA"/>
      </w:rPr>
    </w:lvl>
    <w:lvl w:ilvl="6">
      <w:numFmt w:val="bullet"/>
      <w:lvlText w:val="•"/>
      <w:lvlJc w:val="left"/>
      <w:pPr>
        <w:ind w:left="5771" w:hanging="150"/>
      </w:pPr>
      <w:rPr>
        <w:rFonts w:hint="default"/>
        <w:lang w:val="ru-RU" w:eastAsia="en-US" w:bidi="ar-SA"/>
      </w:rPr>
    </w:lvl>
    <w:lvl w:ilvl="7">
      <w:numFmt w:val="bullet"/>
      <w:lvlText w:val="•"/>
      <w:lvlJc w:val="left"/>
      <w:pPr>
        <w:ind w:left="6736" w:hanging="150"/>
      </w:pPr>
      <w:rPr>
        <w:rFonts w:hint="default"/>
        <w:lang w:val="ru-RU" w:eastAsia="en-US" w:bidi="ar-SA"/>
      </w:rPr>
    </w:lvl>
    <w:lvl w:ilvl="8">
      <w:numFmt w:val="bullet"/>
      <w:lvlText w:val="•"/>
      <w:lvlJc w:val="left"/>
      <w:pPr>
        <w:ind w:left="7702" w:hanging="15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60"/>
    <w:rsid w:val="001C6119"/>
    <w:rsid w:val="002945F7"/>
    <w:rsid w:val="00406DEF"/>
    <w:rsid w:val="00656D60"/>
    <w:rsid w:val="00705CC6"/>
    <w:rsid w:val="00A0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E580A-AE6E-457F-9C86-47851EF4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spacing w:line="272" w:lineRule="exact"/>
      <w:ind w:left="1490" w:hanging="27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302" w:lineRule="exact"/>
      <w:ind w:left="-1" w:right="25"/>
      <w:jc w:val="center"/>
    </w:pPr>
    <w:rPr>
      <w:rFonts w:ascii="Cambria" w:eastAsia="Cambria" w:hAnsi="Cambria" w:cs="Cambria"/>
      <w:sz w:val="30"/>
      <w:szCs w:val="30"/>
    </w:rPr>
  </w:style>
  <w:style w:type="paragraph" w:styleId="a5">
    <w:name w:val="List Paragraph"/>
    <w:basedOn w:val="a"/>
    <w:uiPriority w:val="1"/>
    <w:qFormat/>
    <w:pPr>
      <w:ind w:left="142" w:firstLine="53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2025-09-28T10:08:00Z</dcterms:created>
  <dcterms:modified xsi:type="dcterms:W3CDTF">2025-09-28T10:08:00Z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2025-09-27T00:00:00Z</vt:filetime>
  </property>
</Properties>
</file>